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A7CF0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4A7CF0" w:rsidRPr="004A7CF0">
        <w:rPr>
          <w:b/>
          <w:sz w:val="28"/>
        </w:rPr>
        <w:t>PL 123/2020, do vereador Pastor Sargento Marcos (PSB), que dispõe sobre prioridade no atendimento psicológico para crianças, e adolescentes e aos jovens decorrentes de</w:t>
      </w:r>
      <w:r w:rsidR="004A7CF0">
        <w:rPr>
          <w:b/>
          <w:sz w:val="28"/>
        </w:rPr>
        <w:t xml:space="preserve"> abuso e exploração sexual</w:t>
      </w:r>
    </w:p>
    <w:p w:rsidR="004A7CF0" w:rsidRDefault="004A7CF0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EE771D" w:rsidRDefault="004A7CF0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B5DAE">
          <w:rPr>
            <w:rStyle w:val="Hyperlink"/>
            <w:b/>
            <w:sz w:val="24"/>
            <w:szCs w:val="24"/>
          </w:rPr>
          <w:t>https://consulta.siscam.com.br/camaraguaruja/Documentos/Documento/175813</w:t>
        </w:r>
      </w:hyperlink>
    </w:p>
    <w:p w:rsidR="004A7CF0" w:rsidRDefault="004A7CF0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8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2020-10-08T14:45:00Z</dcterms:created>
  <dcterms:modified xsi:type="dcterms:W3CDTF">2020-10-08T14:45:00Z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